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F4" w:rsidRPr="000D23F4" w:rsidRDefault="000D23F4" w:rsidP="00BE30DF">
      <w:pPr>
        <w:pStyle w:val="ecxmsolistparagraph"/>
        <w:shd w:val="clear" w:color="auto" w:fill="FFFFFF"/>
        <w:spacing w:before="0" w:beforeAutospacing="0" w:after="324" w:afterAutospacing="0" w:line="345" w:lineRule="atLeast"/>
        <w:jc w:val="both"/>
        <w:rPr>
          <w:rFonts w:ascii="Arial" w:hAnsi="Arial" w:cs="Arial"/>
          <w:b/>
          <w:color w:val="000000"/>
          <w:sz w:val="22"/>
          <w:szCs w:val="22"/>
        </w:rPr>
      </w:pPr>
      <w:bookmarkStart w:id="0" w:name="_GoBack"/>
      <w:bookmarkEnd w:id="0"/>
      <w:r w:rsidRPr="000D23F4">
        <w:rPr>
          <w:rFonts w:ascii="Arial" w:hAnsi="Arial" w:cs="Arial"/>
          <w:b/>
          <w:color w:val="000000"/>
          <w:sz w:val="22"/>
          <w:szCs w:val="22"/>
        </w:rPr>
        <w:t>Interpretación de la respuesta obtenida por la SECPRE a la Consulta Vinculante efectuada a la Dirección General de Tributos</w:t>
      </w:r>
      <w:r>
        <w:rPr>
          <w:rFonts w:ascii="Arial" w:hAnsi="Arial" w:cs="Arial"/>
          <w:b/>
          <w:color w:val="000000"/>
          <w:sz w:val="22"/>
          <w:szCs w:val="22"/>
        </w:rPr>
        <w:t xml:space="preserve"> (DGT)</w:t>
      </w:r>
      <w:r w:rsidRPr="000D23F4">
        <w:rPr>
          <w:rFonts w:ascii="Arial" w:hAnsi="Arial" w:cs="Arial"/>
          <w:b/>
          <w:color w:val="000000"/>
          <w:sz w:val="22"/>
          <w:szCs w:val="22"/>
        </w:rPr>
        <w:t>, solicitando aclaración del punto 5 de la consulta de 3 de julio de 2015 número V2075-15.</w:t>
      </w:r>
    </w:p>
    <w:p w:rsidR="000D23F4" w:rsidRDefault="000D23F4" w:rsidP="00BE30DF">
      <w:pPr>
        <w:pStyle w:val="ecxmsolistparagraph"/>
        <w:shd w:val="clear" w:color="auto" w:fill="FFFFFF"/>
        <w:spacing w:before="0" w:beforeAutospacing="0" w:after="324" w:afterAutospacing="0" w:line="345" w:lineRule="atLeast"/>
        <w:jc w:val="both"/>
        <w:rPr>
          <w:rFonts w:ascii="Arial" w:hAnsi="Arial" w:cs="Arial"/>
          <w:color w:val="000000"/>
          <w:sz w:val="22"/>
          <w:szCs w:val="22"/>
        </w:rPr>
      </w:pPr>
      <w:r>
        <w:rPr>
          <w:rFonts w:ascii="Arial" w:hAnsi="Arial" w:cs="Arial"/>
          <w:color w:val="000000"/>
          <w:sz w:val="22"/>
          <w:szCs w:val="22"/>
        </w:rPr>
        <w:t>La respuesta ofrecida por la DGT se estructura de tal forma que cabe destacar:</w:t>
      </w:r>
    </w:p>
    <w:p w:rsidR="000D23F4" w:rsidRDefault="000D23F4" w:rsidP="00BE30DF">
      <w:pPr>
        <w:pStyle w:val="ecxmsolistparagraph"/>
        <w:shd w:val="clear" w:color="auto" w:fill="FFFFFF"/>
        <w:spacing w:before="0" w:beforeAutospacing="0" w:after="324" w:afterAutospacing="0" w:line="345" w:lineRule="atLeast"/>
        <w:jc w:val="both"/>
        <w:rPr>
          <w:rFonts w:ascii="Arial" w:hAnsi="Arial" w:cs="Arial"/>
          <w:color w:val="444444"/>
          <w:sz w:val="22"/>
          <w:szCs w:val="22"/>
        </w:rPr>
      </w:pPr>
      <w:r>
        <w:rPr>
          <w:rFonts w:ascii="Arial" w:hAnsi="Arial" w:cs="Arial"/>
          <w:color w:val="000000"/>
          <w:sz w:val="22"/>
          <w:szCs w:val="22"/>
        </w:rPr>
        <w:t xml:space="preserve">1º </w:t>
      </w:r>
      <w:r w:rsidR="00BE30DF" w:rsidRPr="000D23F4">
        <w:rPr>
          <w:rFonts w:ascii="Arial" w:hAnsi="Arial" w:cs="Arial"/>
          <w:color w:val="000000"/>
          <w:sz w:val="22"/>
          <w:szCs w:val="22"/>
        </w:rPr>
        <w:t>Repetición literal de la Consulta que es objeto de aclaración.</w:t>
      </w:r>
    </w:p>
    <w:p w:rsidR="00BE30DF" w:rsidRPr="000D23F4" w:rsidRDefault="000D23F4" w:rsidP="00BE30DF">
      <w:pPr>
        <w:pStyle w:val="ecxmsolistparagraph"/>
        <w:shd w:val="clear" w:color="auto" w:fill="FFFFFF"/>
        <w:spacing w:before="0" w:beforeAutospacing="0" w:after="324" w:afterAutospacing="0" w:line="345" w:lineRule="atLeast"/>
        <w:jc w:val="both"/>
        <w:rPr>
          <w:rFonts w:ascii="Arial" w:hAnsi="Arial" w:cs="Arial"/>
          <w:color w:val="444444"/>
          <w:sz w:val="22"/>
          <w:szCs w:val="22"/>
        </w:rPr>
      </w:pPr>
      <w:r>
        <w:rPr>
          <w:rFonts w:ascii="Arial" w:hAnsi="Arial" w:cs="Arial"/>
          <w:color w:val="444444"/>
          <w:sz w:val="22"/>
          <w:szCs w:val="22"/>
        </w:rPr>
        <w:t xml:space="preserve">2º </w:t>
      </w:r>
      <w:r w:rsidR="00BE30DF" w:rsidRPr="000D23F4">
        <w:rPr>
          <w:rFonts w:ascii="Arial" w:hAnsi="Arial" w:cs="Arial"/>
          <w:color w:val="000000"/>
          <w:sz w:val="22"/>
          <w:szCs w:val="22"/>
        </w:rPr>
        <w:t xml:space="preserve">A la hora de aclarar qué ocurría con los dos listados de carácter </w:t>
      </w:r>
      <w:proofErr w:type="spellStart"/>
      <w:r w:rsidR="00BE30DF" w:rsidRPr="000D23F4">
        <w:rPr>
          <w:rFonts w:ascii="Arial" w:hAnsi="Arial" w:cs="Arial"/>
          <w:color w:val="000000"/>
          <w:sz w:val="22"/>
          <w:szCs w:val="22"/>
        </w:rPr>
        <w:t>ejemplificador</w:t>
      </w:r>
      <w:proofErr w:type="spellEnd"/>
      <w:r w:rsidR="00BE30DF" w:rsidRPr="000D23F4">
        <w:rPr>
          <w:rFonts w:ascii="Arial" w:hAnsi="Arial" w:cs="Arial"/>
          <w:color w:val="000000"/>
          <w:sz w:val="22"/>
          <w:szCs w:val="22"/>
        </w:rPr>
        <w:t xml:space="preserve">, </w:t>
      </w:r>
      <w:r>
        <w:rPr>
          <w:rFonts w:ascii="Arial" w:hAnsi="Arial" w:cs="Arial"/>
          <w:color w:val="000000"/>
          <w:sz w:val="22"/>
          <w:szCs w:val="22"/>
        </w:rPr>
        <w:t>afirma</w:t>
      </w:r>
      <w:r w:rsidR="00BE30DF" w:rsidRPr="000D23F4">
        <w:rPr>
          <w:rFonts w:ascii="Arial" w:hAnsi="Arial" w:cs="Arial"/>
          <w:color w:val="000000"/>
          <w:sz w:val="22"/>
          <w:szCs w:val="22"/>
        </w:rPr>
        <w:t xml:space="preserve"> básicamente que ni todos los casos respecto de los que se decía que en principio estaban exentos, ni todos los que se decía que estaban no exentos, lo están de manera automática, sino que en todos deberá apreciarse la concurrencia de las circunstancias preceptivas y especialmente</w:t>
      </w:r>
      <w:r>
        <w:rPr>
          <w:rFonts w:ascii="Arial" w:hAnsi="Arial" w:cs="Arial"/>
          <w:color w:val="000000"/>
          <w:sz w:val="22"/>
          <w:szCs w:val="22"/>
        </w:rPr>
        <w:t>,</w:t>
      </w:r>
      <w:r w:rsidR="00BE30DF" w:rsidRPr="000D23F4">
        <w:rPr>
          <w:rFonts w:ascii="Arial" w:hAnsi="Arial" w:cs="Arial"/>
          <w:color w:val="000000"/>
          <w:sz w:val="22"/>
          <w:szCs w:val="22"/>
        </w:rPr>
        <w:t xml:space="preserve"> dado que en la última Consulta la novedad estaba en que debe existir una enfermedad, defecto o lesión previo, es ese requisito el que “decidirá” si procede la exención o no.</w:t>
      </w:r>
    </w:p>
    <w:p w:rsidR="00BE30DF" w:rsidRPr="000D23F4" w:rsidRDefault="00BE30DF" w:rsidP="00BE30DF">
      <w:pPr>
        <w:pStyle w:val="ecxmsolistparagraph"/>
        <w:shd w:val="clear" w:color="auto" w:fill="FFFFFF"/>
        <w:spacing w:before="0" w:beforeAutospacing="0" w:after="324" w:afterAutospacing="0" w:line="345" w:lineRule="atLeast"/>
        <w:jc w:val="both"/>
        <w:rPr>
          <w:rFonts w:ascii="Arial" w:hAnsi="Arial" w:cs="Arial"/>
          <w:color w:val="444444"/>
          <w:sz w:val="22"/>
          <w:szCs w:val="22"/>
        </w:rPr>
      </w:pPr>
      <w:r w:rsidRPr="000D23F4">
        <w:rPr>
          <w:rStyle w:val="apple-converted-space"/>
          <w:rFonts w:ascii="Arial" w:hAnsi="Arial" w:cs="Arial"/>
          <w:color w:val="000000"/>
          <w:sz w:val="22"/>
          <w:szCs w:val="22"/>
        </w:rPr>
        <w:t> </w:t>
      </w:r>
      <w:r w:rsidRPr="000D23F4">
        <w:rPr>
          <w:rFonts w:ascii="Arial" w:hAnsi="Arial" w:cs="Arial"/>
          <w:color w:val="000000"/>
          <w:sz w:val="22"/>
          <w:szCs w:val="22"/>
        </w:rPr>
        <w:t xml:space="preserve">A este respecto </w:t>
      </w:r>
      <w:r w:rsidR="000D23F4">
        <w:rPr>
          <w:rFonts w:ascii="Arial" w:hAnsi="Arial" w:cs="Arial"/>
          <w:color w:val="000000"/>
          <w:sz w:val="22"/>
          <w:szCs w:val="22"/>
        </w:rPr>
        <w:t>destaca el</w:t>
      </w:r>
      <w:r w:rsidRPr="000D23F4">
        <w:rPr>
          <w:rFonts w:ascii="Arial" w:hAnsi="Arial" w:cs="Arial"/>
          <w:color w:val="000000"/>
          <w:sz w:val="22"/>
          <w:szCs w:val="22"/>
        </w:rPr>
        <w:t xml:space="preserve"> último </w:t>
      </w:r>
      <w:r w:rsidR="000D23F4">
        <w:rPr>
          <w:rFonts w:ascii="Arial" w:hAnsi="Arial" w:cs="Arial"/>
          <w:color w:val="000000"/>
          <w:sz w:val="22"/>
          <w:szCs w:val="22"/>
        </w:rPr>
        <w:t xml:space="preserve">párrafo </w:t>
      </w:r>
      <w:r w:rsidR="000D23F4" w:rsidRPr="000D23F4">
        <w:rPr>
          <w:rFonts w:ascii="Arial" w:hAnsi="Arial" w:cs="Arial"/>
          <w:color w:val="000000"/>
          <w:sz w:val="22"/>
          <w:szCs w:val="22"/>
        </w:rPr>
        <w:t xml:space="preserve">de la página 7, anterior </w:t>
      </w:r>
      <w:r w:rsidRPr="000D23F4">
        <w:rPr>
          <w:rFonts w:ascii="Arial" w:hAnsi="Arial" w:cs="Arial"/>
          <w:color w:val="000000"/>
          <w:sz w:val="22"/>
          <w:szCs w:val="22"/>
        </w:rPr>
        <w:t xml:space="preserve">al punto 3: </w:t>
      </w:r>
      <w:r w:rsidRPr="000D23F4">
        <w:rPr>
          <w:rFonts w:ascii="Arial" w:hAnsi="Arial" w:cs="Arial"/>
          <w:sz w:val="22"/>
          <w:szCs w:val="22"/>
        </w:rPr>
        <w:t>“De todo lo anterior, se pone de manifiesto que no todas las blefaroplastias con fines reparadores deben quedar exentas del Impuesto sobre el Valor Añadido, puesto que aunque todas parece que tienen un cierto componente reparador, en muchas ocasiones se realizan</w:t>
      </w:r>
      <w:r w:rsidRPr="000D23F4">
        <w:rPr>
          <w:rStyle w:val="apple-converted-space"/>
          <w:rFonts w:ascii="Arial" w:hAnsi="Arial" w:cs="Arial"/>
          <w:color w:val="444444"/>
          <w:sz w:val="22"/>
          <w:szCs w:val="22"/>
        </w:rPr>
        <w:t> </w:t>
      </w:r>
      <w:r w:rsidRPr="000D23F4">
        <w:rPr>
          <w:rFonts w:ascii="Arial" w:hAnsi="Arial" w:cs="Arial"/>
          <w:i/>
          <w:iCs/>
          <w:color w:val="FF0000"/>
          <w:sz w:val="22"/>
          <w:szCs w:val="22"/>
          <w:u w:val="single"/>
        </w:rPr>
        <w:t>exclusivamente</w:t>
      </w:r>
      <w:r w:rsidRPr="000D23F4">
        <w:rPr>
          <w:rStyle w:val="apple-converted-space"/>
          <w:rFonts w:ascii="Arial" w:hAnsi="Arial" w:cs="Arial"/>
          <w:color w:val="444444"/>
          <w:sz w:val="22"/>
          <w:szCs w:val="22"/>
        </w:rPr>
        <w:t> </w:t>
      </w:r>
      <w:r w:rsidRPr="000D23F4">
        <w:rPr>
          <w:rFonts w:ascii="Arial" w:hAnsi="Arial" w:cs="Arial"/>
          <w:sz w:val="22"/>
          <w:szCs w:val="22"/>
        </w:rPr>
        <w:t xml:space="preserve">por motivos estéticos al margen de una enfermedad, lesión o defecto físico. Ni, con carácter general, la </w:t>
      </w:r>
      <w:proofErr w:type="spellStart"/>
      <w:r w:rsidRPr="000D23F4">
        <w:rPr>
          <w:rFonts w:ascii="Arial" w:hAnsi="Arial" w:cs="Arial"/>
          <w:sz w:val="22"/>
          <w:szCs w:val="22"/>
        </w:rPr>
        <w:t>abdominoplastia</w:t>
      </w:r>
      <w:proofErr w:type="spellEnd"/>
      <w:r w:rsidRPr="000D23F4">
        <w:rPr>
          <w:rFonts w:ascii="Arial" w:hAnsi="Arial" w:cs="Arial"/>
          <w:sz w:val="22"/>
          <w:szCs w:val="22"/>
        </w:rPr>
        <w:t xml:space="preserve"> debe quedar siempre sujeta y no exenta del Impuesto, porque en ocasiones se deriva de una enfermedad, lesión o defecto físico congénito, sin perjuicio de sus</w:t>
      </w:r>
      <w:r w:rsidRPr="000D23F4">
        <w:rPr>
          <w:rStyle w:val="apple-converted-space"/>
          <w:rFonts w:ascii="Arial" w:hAnsi="Arial" w:cs="Arial"/>
          <w:color w:val="444444"/>
          <w:sz w:val="22"/>
          <w:szCs w:val="22"/>
        </w:rPr>
        <w:t> </w:t>
      </w:r>
      <w:r w:rsidRPr="000D23F4">
        <w:rPr>
          <w:rFonts w:ascii="Arial" w:hAnsi="Arial" w:cs="Arial"/>
          <w:i/>
          <w:iCs/>
          <w:color w:val="FF0000"/>
          <w:sz w:val="22"/>
          <w:szCs w:val="22"/>
          <w:u w:val="single"/>
        </w:rPr>
        <w:t xml:space="preserve">resultados </w:t>
      </w:r>
      <w:proofErr w:type="gramStart"/>
      <w:r w:rsidRPr="000D23F4">
        <w:rPr>
          <w:rFonts w:ascii="Arial" w:hAnsi="Arial" w:cs="Arial"/>
          <w:i/>
          <w:iCs/>
          <w:color w:val="FF0000"/>
          <w:sz w:val="22"/>
          <w:szCs w:val="22"/>
          <w:u w:val="single"/>
        </w:rPr>
        <w:t>puramente</w:t>
      </w:r>
      <w:proofErr w:type="gramEnd"/>
      <w:r w:rsidRPr="000D23F4">
        <w:rPr>
          <w:rFonts w:ascii="Arial" w:hAnsi="Arial" w:cs="Arial"/>
          <w:i/>
          <w:iCs/>
          <w:color w:val="FF0000"/>
          <w:sz w:val="22"/>
          <w:szCs w:val="22"/>
          <w:u w:val="single"/>
        </w:rPr>
        <w:t xml:space="preserve"> estéticos”</w:t>
      </w:r>
    </w:p>
    <w:p w:rsidR="000D23F4" w:rsidRDefault="000D23F4" w:rsidP="000D23F4">
      <w:pPr>
        <w:pStyle w:val="ecxmsonormal"/>
        <w:shd w:val="clear" w:color="auto" w:fill="FFFFFF"/>
        <w:spacing w:before="0" w:beforeAutospacing="0" w:after="324" w:afterAutospacing="0" w:line="345" w:lineRule="atLeast"/>
        <w:jc w:val="both"/>
        <w:rPr>
          <w:rFonts w:ascii="Arial" w:hAnsi="Arial" w:cs="Arial"/>
          <w:color w:val="444444"/>
          <w:sz w:val="22"/>
          <w:szCs w:val="22"/>
        </w:rPr>
      </w:pPr>
      <w:r>
        <w:rPr>
          <w:rFonts w:ascii="Arial" w:hAnsi="Arial" w:cs="Arial"/>
          <w:color w:val="444444"/>
          <w:sz w:val="22"/>
          <w:szCs w:val="22"/>
        </w:rPr>
        <w:t>Es</w:t>
      </w:r>
      <w:r w:rsidR="00BE30DF" w:rsidRPr="000D23F4">
        <w:rPr>
          <w:rFonts w:ascii="Arial" w:hAnsi="Arial" w:cs="Arial"/>
          <w:color w:val="444444"/>
          <w:sz w:val="22"/>
          <w:szCs w:val="22"/>
        </w:rPr>
        <w:t xml:space="preserve"> importante destacar que (i) parece que solo se impide la exención cuando la finalidad sea exclusivamente estética y (ii) reconoce </w:t>
      </w:r>
      <w:r>
        <w:rPr>
          <w:rFonts w:ascii="Arial" w:hAnsi="Arial" w:cs="Arial"/>
          <w:color w:val="444444"/>
          <w:sz w:val="22"/>
          <w:szCs w:val="22"/>
        </w:rPr>
        <w:t>(</w:t>
      </w:r>
      <w:r w:rsidR="00BE30DF" w:rsidRPr="000D23F4">
        <w:rPr>
          <w:rFonts w:ascii="Arial" w:hAnsi="Arial" w:cs="Arial"/>
          <w:color w:val="444444"/>
          <w:sz w:val="22"/>
          <w:szCs w:val="22"/>
        </w:rPr>
        <w:t>y esto es importante</w:t>
      </w:r>
      <w:r>
        <w:rPr>
          <w:rFonts w:ascii="Arial" w:hAnsi="Arial" w:cs="Arial"/>
          <w:color w:val="444444"/>
          <w:sz w:val="22"/>
          <w:szCs w:val="22"/>
        </w:rPr>
        <w:t>)</w:t>
      </w:r>
      <w:r w:rsidR="00BE30DF" w:rsidRPr="000D23F4">
        <w:rPr>
          <w:rFonts w:ascii="Arial" w:hAnsi="Arial" w:cs="Arial"/>
          <w:color w:val="444444"/>
          <w:sz w:val="22"/>
          <w:szCs w:val="22"/>
        </w:rPr>
        <w:t xml:space="preserve"> que en toda intervención hay siempre un resultado puramente estético.</w:t>
      </w:r>
    </w:p>
    <w:p w:rsidR="00BE30DF" w:rsidRPr="000D23F4" w:rsidRDefault="000D23F4" w:rsidP="000D23F4">
      <w:pPr>
        <w:pStyle w:val="ecxmsonormal"/>
        <w:shd w:val="clear" w:color="auto" w:fill="FFFFFF"/>
        <w:spacing w:before="0" w:beforeAutospacing="0" w:after="324" w:afterAutospacing="0" w:line="345" w:lineRule="atLeast"/>
        <w:jc w:val="both"/>
        <w:rPr>
          <w:rFonts w:ascii="Arial" w:hAnsi="Arial" w:cs="Arial"/>
          <w:color w:val="444444"/>
          <w:sz w:val="22"/>
          <w:szCs w:val="22"/>
        </w:rPr>
      </w:pPr>
      <w:r>
        <w:rPr>
          <w:rFonts w:ascii="Arial" w:hAnsi="Arial" w:cs="Arial"/>
          <w:color w:val="444444"/>
          <w:sz w:val="22"/>
          <w:szCs w:val="22"/>
        </w:rPr>
        <w:t xml:space="preserve">3º </w:t>
      </w:r>
      <w:r w:rsidR="00BE30DF" w:rsidRPr="000D23F4">
        <w:rPr>
          <w:rStyle w:val="apple-converted-space"/>
          <w:rFonts w:ascii="Arial" w:hAnsi="Arial" w:cs="Arial"/>
          <w:color w:val="444444"/>
          <w:sz w:val="22"/>
          <w:szCs w:val="22"/>
        </w:rPr>
        <w:t> </w:t>
      </w:r>
      <w:r w:rsidR="00BE30DF" w:rsidRPr="000D23F4">
        <w:rPr>
          <w:rFonts w:ascii="Arial" w:hAnsi="Arial" w:cs="Arial"/>
          <w:color w:val="444444"/>
          <w:sz w:val="22"/>
          <w:szCs w:val="22"/>
        </w:rPr>
        <w:t xml:space="preserve">La conclusión en cambio (que es el párrafo siguiente) es </w:t>
      </w:r>
      <w:r>
        <w:rPr>
          <w:rFonts w:ascii="Arial" w:hAnsi="Arial" w:cs="Arial"/>
          <w:color w:val="444444"/>
          <w:sz w:val="22"/>
          <w:szCs w:val="22"/>
        </w:rPr>
        <w:t>menos contundente</w:t>
      </w:r>
      <w:proofErr w:type="gramStart"/>
      <w:r>
        <w:rPr>
          <w:rFonts w:ascii="Arial" w:hAnsi="Arial" w:cs="Arial"/>
          <w:color w:val="444444"/>
          <w:sz w:val="22"/>
          <w:szCs w:val="22"/>
        </w:rPr>
        <w:t xml:space="preserve">: </w:t>
      </w:r>
      <w:r w:rsidR="00BE30DF" w:rsidRPr="000D23F4">
        <w:rPr>
          <w:rFonts w:ascii="Arial" w:hAnsi="Arial" w:cs="Arial"/>
          <w:color w:val="444444"/>
          <w:sz w:val="22"/>
          <w:szCs w:val="22"/>
        </w:rPr>
        <w:t xml:space="preserve"> “</w:t>
      </w:r>
      <w:proofErr w:type="gramEnd"/>
      <w:r w:rsidR="00BE30DF" w:rsidRPr="000D23F4">
        <w:rPr>
          <w:rFonts w:ascii="Arial" w:hAnsi="Arial" w:cs="Arial"/>
          <w:color w:val="444444"/>
          <w:sz w:val="22"/>
          <w:szCs w:val="22"/>
        </w:rPr>
        <w:t>En consecuencia, será necesario, tal y como se ha señalado, determinar en cada caso concreto si los servicios de cirugía objeto de consulta se realizan con fines estéticos, al margen o con independencia de una actuación médica relativa al diagnóstico, prevención o tratamiento de una enfermedad o, en su caso, lesión o defecto físico congénito”. Nos hubiera gustado que dijera “…objeto de consulta se realizan con fines</w:t>
      </w:r>
      <w:r w:rsidR="00BE30DF" w:rsidRPr="000D23F4">
        <w:rPr>
          <w:rStyle w:val="apple-converted-space"/>
          <w:rFonts w:ascii="Arial" w:hAnsi="Arial" w:cs="Arial"/>
          <w:color w:val="444444"/>
          <w:sz w:val="22"/>
          <w:szCs w:val="22"/>
        </w:rPr>
        <w:t> </w:t>
      </w:r>
      <w:r w:rsidR="00BE30DF" w:rsidRPr="000D23F4">
        <w:rPr>
          <w:rFonts w:ascii="Arial" w:hAnsi="Arial" w:cs="Arial"/>
          <w:color w:val="444444"/>
          <w:sz w:val="22"/>
          <w:szCs w:val="22"/>
          <w:u w:val="single"/>
        </w:rPr>
        <w:t>exclusivamente</w:t>
      </w:r>
      <w:r w:rsidR="00BE30DF" w:rsidRPr="000D23F4">
        <w:rPr>
          <w:rStyle w:val="apple-converted-space"/>
          <w:rFonts w:ascii="Arial" w:hAnsi="Arial" w:cs="Arial"/>
          <w:color w:val="444444"/>
          <w:sz w:val="22"/>
          <w:szCs w:val="22"/>
        </w:rPr>
        <w:t> </w:t>
      </w:r>
      <w:r w:rsidR="00BE30DF" w:rsidRPr="000D23F4">
        <w:rPr>
          <w:rFonts w:ascii="Arial" w:hAnsi="Arial" w:cs="Arial"/>
          <w:color w:val="444444"/>
          <w:sz w:val="22"/>
          <w:szCs w:val="22"/>
        </w:rPr>
        <w:t xml:space="preserve">estéticos”, pero dado que lo </w:t>
      </w:r>
      <w:r w:rsidR="00141CF7">
        <w:rPr>
          <w:rFonts w:ascii="Arial" w:hAnsi="Arial" w:cs="Arial"/>
          <w:color w:val="444444"/>
          <w:sz w:val="22"/>
          <w:szCs w:val="22"/>
        </w:rPr>
        <w:t>afirma anteriormente</w:t>
      </w:r>
      <w:r w:rsidR="00BE30DF" w:rsidRPr="000D23F4">
        <w:rPr>
          <w:rFonts w:ascii="Arial" w:hAnsi="Arial" w:cs="Arial"/>
          <w:color w:val="444444"/>
          <w:sz w:val="22"/>
          <w:szCs w:val="22"/>
        </w:rPr>
        <w:t>, no hay ninguna duda al respecto.</w:t>
      </w:r>
    </w:p>
    <w:p w:rsidR="00D80ADD" w:rsidRPr="000D23F4" w:rsidRDefault="00D80ADD" w:rsidP="00BE30DF">
      <w:pPr>
        <w:jc w:val="both"/>
        <w:rPr>
          <w:rFonts w:ascii="Arial" w:hAnsi="Arial" w:cs="Arial"/>
        </w:rPr>
      </w:pPr>
    </w:p>
    <w:sectPr w:rsidR="00D80ADD" w:rsidRPr="000D23F4" w:rsidSect="00D80A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DF"/>
    <w:rsid w:val="000D23F4"/>
    <w:rsid w:val="00141CF7"/>
    <w:rsid w:val="002B2894"/>
    <w:rsid w:val="005917D9"/>
    <w:rsid w:val="00BE30DF"/>
    <w:rsid w:val="00D80A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listparagraph">
    <w:name w:val="ecxmsolistparagraph"/>
    <w:basedOn w:val="Normal"/>
    <w:rsid w:val="00BE30D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BE30DF"/>
  </w:style>
  <w:style w:type="paragraph" w:customStyle="1" w:styleId="ecxmsonormal">
    <w:name w:val="ecxmsonormal"/>
    <w:basedOn w:val="Normal"/>
    <w:rsid w:val="00BE30DF"/>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listparagraph">
    <w:name w:val="ecxmsolistparagraph"/>
    <w:basedOn w:val="Normal"/>
    <w:rsid w:val="00BE30D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apple-converted-space">
    <w:name w:val="apple-converted-space"/>
    <w:basedOn w:val="Fuentedeprrafopredeter"/>
    <w:rsid w:val="00BE30DF"/>
  </w:style>
  <w:style w:type="paragraph" w:customStyle="1" w:styleId="ecxmsonormal">
    <w:name w:val="ecxmsonormal"/>
    <w:basedOn w:val="Normal"/>
    <w:rsid w:val="00BE30DF"/>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2040</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Benito</cp:lastModifiedBy>
  <cp:revision>2</cp:revision>
  <dcterms:created xsi:type="dcterms:W3CDTF">2016-04-25T15:39:00Z</dcterms:created>
  <dcterms:modified xsi:type="dcterms:W3CDTF">2016-04-25T15:39:00Z</dcterms:modified>
</cp:coreProperties>
</file>